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050"/>
        <w:gridCol w:w="525"/>
        <w:gridCol w:w="263"/>
        <w:gridCol w:w="263"/>
        <w:gridCol w:w="525"/>
        <w:gridCol w:w="525"/>
        <w:gridCol w:w="1050"/>
        <w:gridCol w:w="52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0"/>
      </w:tblGrid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-1"/>
            </w:pPr>
            <w:r>
              <w:t>АКТИВ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0"/>
            </w:pPr>
            <w:r>
              <w:t>410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11 891 622,51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2"/>
            </w:pPr>
            <w:r>
              <w:t>11 891 622,51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11 423 662,73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3"/>
            </w:pPr>
            <w:r>
              <w:t>11 423 662,73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-1"/>
            </w:pPr>
            <w:r>
              <w:t>ПАССИВ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0"/>
            </w:pPr>
            <w:r>
              <w:t>900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11 891 622,51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2"/>
            </w:pPr>
            <w:r>
              <w:t>11 891 622,51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11 423 662,73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3"/>
            </w:pPr>
            <w:r>
              <w:t>11 423 662,73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4"/>
            </w:pPr>
            <w:r>
              <w:t>ОТКЛОНЕНИЕ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</w:tr>
      <w:tr>
        <w:trPr>
          <w:trHeight w:val="100" w:hRule="exact"/>
        </w:trPr>
        <w:tc>
          <w:tcPr>
            <w:gridSpan w:val="7"/>
            <w:tcW w:w="42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6"/>
            <w:tcW w:w="15646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9"/>
            </w:pPr>
            <w:r>
              <w:t>БАЛАНС</w:t>
              <w:br/>
              <w:t>
ГЛАВНОГО РАСПОРЯДИТЕЛЯ, РАСПОРЯДИТЕЛЯ, ПОЛУЧАТЕЛЯ БЮДЖЕТНЫХ СРЕДСТВ,</w:t>
              <w:br/>
              <w:t>
ГЛАВНОГО АДМИНИСТРАТОРА, АДМИНИСТРАТОРА ИСТОЧНИКОВ ФИНАНСИРОВАНИЯ ДЕФИЦИТА БЮДЖЕТА,</w:t>
              <w:br/>
              <w:t>
ГЛАВНОГО АДМИНИСТРАТОРА, АДМИНИСТРАТОРА ДОХОДОВ БЮДЖЕТА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"/>
            </w:pPr>
            <w:r>
              <w:t>КОДЫ</w:t>
            </w:r>
          </w:p>
        </w:tc>
      </w:tr>
      <w:tr>
        <w:tc>
          <w:tcPr>
            <w:vMerge w:val="restart"/>
            <w:gridSpan w:val="7"/>
            <w:tcW w:w="42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gridSpan w:val="7"/>
            <w:tcW w:w="871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5"/>
            </w:pPr>
            <w:r>
              <w:t>Форма по ОКУД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6"/>
            </w:pPr>
            <w:r>
              <w:t>0503130</w:t>
            </w:r>
          </w:p>
        </w:tc>
      </w:tr>
      <w:tr>
        <w:tc>
          <w:tcPr>
            <w:vMerge w:val="continue"/>
            <w:gridSpan w:val="7"/>
            <w:tcW w:w="42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gridSpan w:val="3"/>
            <w:tcW w:w="325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7"/>
            </w:pPr>
            <w:r>
              <w:t>на </w:t>
            </w:r>
          </w:p>
        </w:tc>
        <w:tc>
          <w:tcPr>
            <w:tcW w:w="1365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8"/>
            </w:pPr>
            <w:r>
              <w:t>«01» января 2015 г.</w:t>
            </w:r>
          </w:p>
        </w:tc>
        <w:tc>
          <w:tcPr>
            <w:gridSpan w:val="4"/>
            <w:tcW w:w="5460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5"/>
            </w:pPr>
            <w:r>
              <w:t>Дата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9"/>
            </w:pPr>
            <w:r>
              <w:t>01.01.2015</w:t>
            </w:r>
          </w:p>
        </w:tc>
      </w:tr>
      <w:tr>
        <w:tc>
          <w:tcPr>
            <w:vMerge w:val="continue"/>
            <w:gridSpan w:val="7"/>
            <w:tcW w:w="42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vMerge w:val="restart"/>
            <w:gridSpan w:val="6"/>
            <w:tcW w:w="8190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Управление по обеспечению деятельности мировых судей Ульяновской области</w:t>
            </w:r>
          </w:p>
        </w:tc>
        <w:tc>
          <w:tcPr>
            <w:tcW w:w="1365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5"/>
            </w:pPr>
            <w:r>
              <w:t>по ОКПО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2"/>
            </w:pPr>
            <w:r>
              <w:t>25403377</w:t>
            </w:r>
          </w:p>
        </w:tc>
      </w:tr>
      <w:tr>
        <w:tc>
          <w:tcPr>
            <w:vMerge w:val="continue"/>
            <w:gridSpan w:val="7"/>
            <w:tcW w:w="42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vMerge w:val="continue"/>
            <w:gridSpan w:val="6"/>
            <w:tcW w:w="8190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Управление по обеспечению деятельности мировых судей Ульяновской области</w:t>
            </w:r>
          </w:p>
        </w:tc>
        <w:tc>
          <w:tcPr>
            <w:tcW w:w="1365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5"/>
            </w:pPr>
            <w:r>
              <w:t>Глава по БК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3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4"/>
            </w:pPr>
            <w:r>
              <w:t>Наименование бюджета</w:t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gridSpan w:val="6"/>
            <w:tcW w:w="8190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6"/>
            </w:pPr>
            <w:r>
              <w:t>Областной</w:t>
            </w:r>
          </w:p>
        </w:tc>
        <w:tc>
          <w:tcPr>
            <w:tcW w:w="1365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7"/>
            </w:pPr>
            <w:r>
              <w:t>по ОКАТО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73401000000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>Периодичность: годовая</w:t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29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/>
            </w:r>
          </w:p>
        </w:tc>
      </w:tr>
      <w:tr>
        <w:tc>
          <w:tcPr>
            <w:gridSpan w:val="3"/>
            <w:tcW w:w="183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>Единица измерения:</w:t>
            </w:r>
          </w:p>
        </w:tc>
        <w:tc>
          <w:tcPr>
            <w:gridSpan w:val="2"/>
            <w:tcW w:w="788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31"/>
            </w:pPr>
            <w:r>
              <w:t>руб.</w:t>
            </w:r>
          </w:p>
        </w:tc>
        <w:tc>
          <w:tcPr>
            <w:gridSpan w:val="9"/>
            <w:tcW w:w="102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5"/>
            </w:pPr>
            <w:r>
              <w:t>по ОКЕИ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383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I. Нефинансовые активы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Основные средства (балансовая стоимость, 010100000), всего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010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23 960 142,58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23 960 142,58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23 896 537,64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23 896 537,64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в том числе: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недвижимое имущество учреждения (010110000)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7 510 366,72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7 510 366,72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7 510 366,72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7 510 366,72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иное движимое имущество учреждения (010130000)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16 449 775,86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16 449 775,86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16 386 170,92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16 386 170,92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предметы лизинга (010140000)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Амортизация основных средств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020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16 578 586,22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16 578 586,22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17 836 049,17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17 836 049,17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в том числе: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недвижимого имущества учреждения (010410000)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021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4 184 077,34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4 184 077,34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5 186 535,14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5 186 535,14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иного движимого имущества учреждения (010430000)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12 394 508,88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12 394 508,88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12 649 514,03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12 649 514,03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предметов лизинга (010440000)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024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Основные средства (остаточная стоимость, стр. 010 − стр. 020)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7 381 556,36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7 381 556,36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6 060 488,47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6 060 488,47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недвижимое имущество учреждения (остаточная стоимость, стр.011 -  стр.021)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031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3 326 289,38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3 326 289,38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2 323 831,58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2 323 831,58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иное движимое имущество учреждения (остаточная стоимость, стр.013 -  стр.023)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033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4 055 266,98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4 055 266,98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3 736 656,89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3 736 656,89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предметы лизинга (остаточная стоимость, стр.014 -  стр.024)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034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58"/>
            </w:pPr>
            <w:r>
              <w:t>Форма 0503130, с. 2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начало года</w:t>
            </w:r>
          </w:p>
        </w:tc>
        <w:tc>
          <w:tcPr>
            <w:gridSpan w:val="3"/>
            <w:tcW w:w="4095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конец отчетного периода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/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Нематериальные активы (балансовая стоимость, 010200000)*, всего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040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иное движимое имущество учреждения (010230000)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042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rPr>
          <w:trHeight w:val="225" w:hRule="exact"/>
        </w:trP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0"/>
            </w:pPr>
            <w:r>
              <w:t>предметы лизинга  (010240000)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>043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Амортизация нематериальных активов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050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иного движимого имущества учреждения (010439000)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052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предметов лизинга  (010449000)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053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Нематериальные активы (остаточная стоимость, стр. 040 -  стр.050)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060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иное движимое имущество учреждения (остаточная стоимость, стр. 042 -  стр.052)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062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предметы лизинга (остаточная стоимость, стр. 043 -  стр.053)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063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Непроизведенные активы (балансовая стоимость, 010300000)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070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181 402,15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181 402,15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Материальные запасы (010500000)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080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2 723 498,67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2 723 498,67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3 481 579,29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3 481 579,29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Вложения в нефинансовые активы (010600000)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090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в недвижимое имущество учреждения (010610000)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091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в иное движимое имущество учреждения (010630000)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093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в предметы лизинга (010640000)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094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58"/>
            </w:pPr>
            <w:r>
              <w:t>Форма 0503130, с. 3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Нефинансовые активы в пути (010700000)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4"/>
            </w:pPr>
            <w:r>
              <w:t>100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7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недвижимое имущество учреждения в пути (010710000)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101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иное движимое имущество учреждения в пути (010730000)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103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предметы лизинга в пути (010740000)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104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Нефинансовые активы имущества казны (балансовая стоимость, 010800000)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110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2"/>
            </w:pPr>
            <w:r>
              <w:t>Амортизация имущества, составляющего казну  (010450000)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120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2"/>
            </w:pPr>
            <w:r>
              <w:t>Нефинансовые активы имущества казны (остаточная стоимость, стр. 110 - стр. 120)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3"/>
            </w:pPr>
            <w: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140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4"/>
            </w:pPr>
            <w:r>
              <w:t>Итого по разделу 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(стр.030 + стр.060 + стр.070 + стр.080 + стр.090 + стр.100 + стр.130 + стр. 140)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150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10 105 055,03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10 105 055,03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9 723 469,91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9 723 469,91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58"/>
            </w:pPr>
            <w:r>
              <w:t>Форма 0503130, с. 4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9"/>
            </w:pPr>
            <w:r>
              <w:t>II. Финансовые активы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Денежные средства учреждения (020100000)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933 705,00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933 705,00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721 199,00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721 199,00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денежные средства учреждения в пути в органе казначейства (020113000)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аккредитивы на счетах учреждения в кредитной организации (020126000)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касса (020134000)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177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денежные документы (020135000)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933 705,00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933 705,00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721 199,00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721 199,00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179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Финансовые вложения (020400000)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210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ценные бумаги, кроме акций  (020420000)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211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акции и иные формы участия в капитале (020430000)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212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иные финансовые активы (020450000)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213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Расчеты по доходам (020500000)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230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Расчеты по выданным авансам (020600000)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260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397 929,69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397 929,69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534 062,37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534 062,37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58"/>
            </w:pPr>
            <w:r>
              <w:t>Форма 0503130, с.5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Расчеты по кредитам, займам (ссудам) (020700000)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290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по представленным кредитам, займам (ссудам) (020710000)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291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292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с дебиторами по государственным (муниципальным) гарантиям (020730000)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293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Расчеты с подотчетными лицами (020800000)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310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454 932,79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454 932,79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444 931,45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444 931,45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0"/>
            </w:pPr>
            <w:r>
              <w:t>Расчеты по ущербу имуществу (020900000)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320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Прочие расчеты с дебиторами (021000000)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331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333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Вложения в финансовые активы (021500000)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ценные бумаги, кроме акций  (021520000)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акции и иные формы участия в капитале (021530000)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иные финансовые активы (021550000)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373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4"/>
            </w:pPr>
            <w:r>
              <w:t>Итого по разделу II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 (стр.170  + стр.210 + стр.230 + стр.260 + стр.290 + стр.310 + стр.320 + стр. 330 + стр.370)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400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1 786 567,48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1 786 567,48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1 700 192,82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1 700 192,82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4"/>
            </w:pPr>
            <w:r>
              <w:t>БАЛАНС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(стр. 150 + стр. 400)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410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11 891 622,51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11 891 622,51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11 423 662,73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11 423 662,73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58"/>
            </w:pPr>
            <w:r>
              <w:t>Форма 0503130, с. 6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П А С С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П А С С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9"/>
            </w:pPr>
            <w:r>
              <w:t>III. Обязательства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Расчеты с кредиторами по долговым обязательствам (0 301 00 000)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470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по долговым обязательствам в рублях (030110000)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471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472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по государственным (муниципальным) гарантиям (03013000)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473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по долговым обязательствам в иностранной валюте (030140000)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474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Расчеты по принятым обязательствам (030200000)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490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12 119,85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12 119,85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-17 312,71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-17 312,71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Расчеты по платежам в бюджеты (030300000)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510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-340 805,19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-340 805,19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-94 941,07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-94 941,07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налогу на доходы физических лиц (030301000)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-57 151,82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-57 151,82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-22 924,32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-22 924,32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512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-73 875,23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-73 875,23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-87 298,40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-87 298,40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налогу на прибыль организаций (030303000)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налогу на добавленную стоимость (030304000)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иным платежам в бюджет (030305000, 030312000, 030313000)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515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750,00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750,00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-975,58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-975,58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516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-210 528,14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-210 528,14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16 257,23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16 257,23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58"/>
            </w:pPr>
            <w:r>
              <w:t>Форма 0503130, с. 7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П А С С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П А С С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бюджетная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приносящая доход деятельность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Прочие расчеты с кредиторами (030400000)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4 372,54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4 372,54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6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средствам, полученным во временное распоряжение (030401000)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531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×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×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×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×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с депонентами (030402000)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532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расчеты по удержаниям из выплат по оплате труда (030403000)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533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4 372,54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4 372,54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внутриведомственные расчеты (030404000)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534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Итого по разделу III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 (стр.470+ стр.490 + стр. 510 + стр.530)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600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-324 312,80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-324 312,80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-112 253,78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-112 253,78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9"/>
            </w:pPr>
            <w:r>
              <w:t>IV. Финансовый результат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Финансовый результат хозяйствующего субъекта (040100000)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620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12 215 935,31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12 215 935,31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11 535 916,51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11 535 916,51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финансовый результат прошлых отчетных периодов (040130000)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623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12 215 935,31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12 215 935,31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11 535 916,51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11 535 916,51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доходы будущих периодов (040140000)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624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расходы будущих периодов (040150000)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625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4"/>
            </w:pPr>
            <w:r>
              <w:t>БАЛАНС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(стр. 600 + стр. 620)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900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11 891 622,51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11 891 622,51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11 423 662,73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11 423 662,73</w:t>
            </w:r>
          </w:p>
        </w:tc>
      </w:tr>
      <w:tr>
        <w:tc>
          <w:tcPr>
            <w:gridSpan w:val="16"/>
            <w:tcW w:w="1564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</w:tr>
      <w:tr>
        <w:tc>
          <w:tcPr>
            <w:gridSpan w:val="8"/>
            <w:tcW w:w="472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96"/>
            </w:pPr>
            <w:r>
              <w:t>&lt;*&gt; Данные по этим строкам в валюту баланса не входят.</w:t>
            </w:r>
          </w:p>
        </w:tc>
        <w:tc>
          <w:tcPr>
            <w:gridSpan w:val="8"/>
            <w:tcW w:w="1092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66">
    <w:name w:val="1CStyle66"/>
    <w:basedOn w:val="Normal"/>
    <w:pPr>
      <w:jc w:val="center"/>
      <w:rPr>
        <w:rFonts w:ascii="Arial" w:hAnsi="Arial"/>
        <w:sz w:val="14"/>
      </w:rPr>
    </w:pPr>
  </w:style>
  <w:style w:type="paragraph" w:styleId="1CStyle85">
    <w:name w:val="1CStyle85"/>
    <w:basedOn w:val="Normal"/>
    <w:pPr>
      <w:jc w:val="center"/>
      <w:rPr>
        <w:rFonts w:ascii="Arial" w:hAnsi="Arial"/>
        <w:b/>
        <w:sz w:val="18"/>
      </w:rPr>
    </w:pPr>
  </w:style>
  <w:style w:type="paragraph" w:styleId="1CStyle93">
    <w:name w:val="1CStyle93"/>
    <w:basedOn w:val="Normal"/>
    <w:pPr>
      <w:jc w:val="center"/>
      <w:rPr>
        <w:rFonts w:ascii="Arial" w:hAnsi="Arial"/>
        <w:b/>
        <w:sz w:val="18"/>
      </w:rPr>
    </w:pPr>
  </w:style>
  <w:style w:type="paragraph" w:styleId="1CStyle68">
    <w:name w:val="1CStyle68"/>
    <w:basedOn w:val="Normal"/>
    <w:pPr>
      <w:jc w:val="center"/>
      <w:rPr>
        <w:rFonts w:ascii="Arial" w:hAnsi="Arial"/>
        <w:sz w:val="14"/>
      </w:rPr>
    </w:pPr>
  </w:style>
  <w:style w:type="paragraph" w:styleId="1CStyle67">
    <w:name w:val="1CStyle67"/>
    <w:basedOn w:val="Normal"/>
    <w:pPr>
      <w:jc w:val="center"/>
      <w:rPr>
        <w:rFonts w:ascii="Arial" w:hAnsi="Arial"/>
        <w:sz w:val="14"/>
      </w:rPr>
    </w:pPr>
  </w:style>
  <w:style w:type="paragraph" w:styleId="1CStyle87">
    <w:name w:val="1CStyle87"/>
    <w:basedOn w:val="Normal"/>
    <w:pPr>
      <w:jc w:val="center"/>
      <w:rPr>
        <w:rFonts w:ascii="Arial" w:hAnsi="Arial"/>
        <w:b/>
        <w:sz w:val="18"/>
      </w:rPr>
    </w:pPr>
  </w:style>
  <w:style w:type="paragraph" w:styleId="1CStyle86">
    <w:name w:val="1CStyle86"/>
    <w:basedOn w:val="Normal"/>
    <w:pPr>
      <w:jc w:val="center"/>
      <w:rPr>
        <w:rFonts w:ascii="Arial" w:hAnsi="Arial"/>
        <w:b/>
        <w:sz w:val="18"/>
      </w:rPr>
    </w:pPr>
  </w:style>
  <w:style w:type="paragraph" w:styleId="1CStyle95">
    <w:name w:val="1CStyle95"/>
    <w:basedOn w:val="Normal"/>
    <w:pPr>
      <w:jc w:val="center"/>
      <w:rPr>
        <w:rFonts w:ascii="Arial" w:hAnsi="Arial"/>
        <w:b/>
        <w:sz w:val="18"/>
      </w:rPr>
    </w:pPr>
  </w:style>
  <w:style w:type="paragraph" w:styleId="1CStyle94">
    <w:name w:val="1CStyle94"/>
    <w:basedOn w:val="Normal"/>
    <w:pPr>
      <w:jc w:val="center"/>
      <w:rPr>
        <w:rFonts w:ascii="Arial" w:hAnsi="Arial"/>
        <w:b/>
        <w:sz w:val="18"/>
      </w:rPr>
    </w:pPr>
  </w:style>
  <w:style w:type="paragraph" w:styleId="1CStyle58">
    <w:name w:val="1CStyle58"/>
    <w:basedOn w:val="Normal"/>
    <w:pPr>
      <w:jc w:val="right"/>
      <w:rPr>
        <w:rFonts w:ascii="Arial" w:hAnsi="Arial"/>
        <w:sz w:val="14"/>
      </w:rPr>
    </w:pPr>
  </w:style>
  <w:style w:type="paragraph" w:styleId="1CStyle44">
    <w:name w:val="1CStyle44"/>
    <w:basedOn w:val="Normal"/>
    <w:pPr>
      <w:jc w:val="center"/>
      <w:rPr>
        <w:rFonts w:ascii="Arial" w:hAnsi="Arial"/>
        <w:b/>
        <w:sz w:val="18"/>
      </w:rPr>
    </w:pPr>
  </w:style>
  <w:style w:type="paragraph" w:styleId="1CStyle45">
    <w:name w:val="1CStyle45"/>
    <w:basedOn w:val="Normal"/>
    <w:pPr>
      <w:jc w:val="center"/>
      <w:rPr>
        <w:rFonts w:ascii="Arial" w:hAnsi="Arial"/>
        <w:b/>
        <w:sz w:val="18"/>
      </w:rPr>
    </w:pPr>
  </w:style>
  <w:style w:type="paragraph" w:styleId="1CStyle46">
    <w:name w:val="1CStyle46"/>
    <w:basedOn w:val="Normal"/>
    <w:pPr>
      <w:jc w:val="center"/>
      <w:rPr>
        <w:rFonts w:ascii="Arial" w:hAnsi="Arial"/>
        <w:b/>
        <w:sz w:val="18"/>
      </w:rPr>
    </w:pPr>
  </w:style>
  <w:style w:type="paragraph" w:styleId="1CStyle40">
    <w:name w:val="1CStyle40"/>
    <w:basedOn w:val="Normal"/>
    <w:pPr>
      <w:jc w:val="center"/>
      <w:rPr>
        <w:rFonts w:ascii="Arial" w:hAnsi="Arial"/>
        <w:sz w:val="14"/>
      </w:rPr>
    </w:pPr>
  </w:style>
  <w:style w:type="paragraph" w:styleId="1CStyle41">
    <w:name w:val="1CStyle41"/>
    <w:basedOn w:val="Normal"/>
    <w:pPr>
      <w:jc w:val="center"/>
      <w:rPr>
        <w:rFonts w:ascii="Arial" w:hAnsi="Arial"/>
        <w:sz w:val="14"/>
      </w:rPr>
    </w:pPr>
  </w:style>
  <w:style w:type="paragraph" w:styleId="1CStyle42">
    <w:name w:val="1CStyle42"/>
    <w:basedOn w:val="Normal"/>
    <w:pPr>
      <w:jc w:val="center"/>
      <w:rPr>
        <w:rFonts w:ascii="Arial" w:hAnsi="Arial"/>
        <w:sz w:val="14"/>
      </w:rPr>
    </w:pPr>
  </w:style>
  <w:style w:type="paragraph" w:styleId="1CStyle78">
    <w:name w:val="1CStyle78"/>
    <w:basedOn w:val="Normal"/>
    <w:pPr>
      <w:jc w:val="center"/>
      <w:rPr/>
    </w:pPr>
  </w:style>
  <w:style w:type="paragraph" w:styleId="1CStyle74">
    <w:name w:val="1CStyle74"/>
    <w:basedOn w:val="Normal"/>
    <w:pPr>
      <w:jc w:val="center"/>
      <w:rPr/>
    </w:pPr>
  </w:style>
  <w:style w:type="paragraph" w:styleId="1CStyle48">
    <w:name w:val="1CStyle48"/>
    <w:basedOn w:val="Normal"/>
    <w:pPr>
      <w:jc w:val="center"/>
      <w:rPr/>
    </w:pPr>
  </w:style>
  <w:style w:type="paragraph" w:styleId="1CStyle69">
    <w:name w:val="1CStyle69"/>
    <w:basedOn w:val="Normal"/>
    <w:pPr>
      <w:jc w:val="center"/>
      <w:rPr/>
    </w:pPr>
  </w:style>
  <w:style w:type="paragraph" w:styleId="1CStyle91">
    <w:name w:val="1CStyle91"/>
    <w:basedOn w:val="Normal"/>
    <w:pPr>
      <w:jc w:val="center"/>
      <w:rPr>
        <w:rFonts w:ascii="Arial" w:hAnsi="Arial"/>
        <w:sz w:val="18"/>
      </w:rPr>
    </w:pPr>
  </w:style>
  <w:style w:type="paragraph" w:styleId="1CStyle61">
    <w:name w:val="1CStyle61"/>
    <w:basedOn w:val="Normal"/>
    <w:pPr>
      <w:jc w:val="center"/>
      <w:rPr/>
    </w:pPr>
  </w:style>
  <w:style w:type="paragraph" w:styleId="1CStyle54">
    <w:name w:val="1CStyle54"/>
    <w:basedOn w:val="Normal"/>
    <w:pPr>
      <w:jc w:val="center"/>
      <w:rPr/>
    </w:pPr>
  </w:style>
  <w:style w:type="paragraph" w:styleId="1CStyle0">
    <w:name w:val="1CStyle0"/>
    <w:basedOn w:val="Normal"/>
    <w:pPr>
      <w:jc w:val="center"/>
      <w:rPr/>
    </w:pPr>
  </w:style>
  <w:style w:type="paragraph" w:styleId="1CStyle5">
    <w:name w:val="1CStyle5"/>
    <w:basedOn w:val="Normal"/>
    <w:pPr>
      <w:jc w:val="center"/>
      <w:rPr>
        <w:rFonts w:ascii="Arial" w:hAnsi="Arial"/>
        <w:b/>
        <w:sz w:val="16"/>
      </w:rPr>
    </w:pPr>
  </w:style>
  <w:style w:type="paragraph" w:styleId="1CStyle96">
    <w:name w:val="1CStyle96"/>
    <w:basedOn w:val="Normal"/>
    <w:pPr>
      <w:wordWrap w:val="0"/>
      <w:jc w:val="center"/>
      <w:rPr/>
    </w:pPr>
  </w:style>
  <w:style w:type="paragraph" w:styleId="1CStyle33">
    <w:name w:val="1CStyle33"/>
    <w:basedOn w:val="Normal"/>
    <w:pPr>
      <w:wordWrap w:val="1"/>
      <w:jc w:val="center"/>
      <w:rPr/>
    </w:pPr>
  </w:style>
  <w:style w:type="paragraph" w:styleId="1CStyle57">
    <w:name w:val="1CStyle57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84">
    <w:name w:val="1CStyle84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92">
    <w:name w:val="1CStyle92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43">
    <w:name w:val="1CStyle43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39">
    <w:name w:val="1CStyle39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35">
    <w:name w:val="1CStyle35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89">
    <w:name w:val="1CStyle89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-1">
    <w:name w:val="1CStyle-1"/>
    <w:basedOn w:val="Normal"/>
    <w:pPr>
      <w:wordWrap w:val="1"/>
      <w:jc w:val="center"/>
      <w:rPr/>
    </w:pPr>
  </w:style>
  <w:style w:type="paragraph" w:styleId="1CStyle4">
    <w:name w:val="1CStyle4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34">
    <w:name w:val="1CStyle34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11">
    <w:name w:val="1CStyle11"/>
    <w:basedOn w:val="Normal"/>
    <w:pPr>
      <w:jc w:val="center"/>
      <w:rPr>
        <w:rFonts w:ascii="Arial" w:hAnsi="Arial"/>
        <w:sz w:val="16"/>
      </w:rPr>
    </w:pPr>
  </w:style>
  <w:style w:type="paragraph" w:styleId="1CStyle12">
    <w:name w:val="1CStyle12"/>
    <w:basedOn w:val="Normal"/>
    <w:pPr>
      <w:jc w:val="center"/>
      <w:rPr>
        <w:rFonts w:ascii="Arial" w:hAnsi="Arial"/>
        <w:sz w:val="16"/>
      </w:rPr>
    </w:pPr>
  </w:style>
  <w:style w:type="paragraph" w:styleId="1CStyle25">
    <w:name w:val="1CStyle25"/>
    <w:basedOn w:val="Normal"/>
    <w:pPr>
      <w:jc w:val="center"/>
      <w:rPr>
        <w:rFonts w:ascii="Arial" w:hAnsi="Arial"/>
        <w:sz w:val="16"/>
      </w:rPr>
    </w:pPr>
  </w:style>
  <w:style w:type="paragraph" w:styleId="1CStyle17">
    <w:name w:val="1CStyle17"/>
    <w:basedOn w:val="Normal"/>
    <w:pPr>
      <w:jc w:val="right"/>
      <w:rPr>
        <w:rFonts w:ascii="Arial" w:hAnsi="Arial"/>
        <w:sz w:val="16"/>
      </w:rPr>
    </w:pPr>
  </w:style>
  <w:style w:type="paragraph" w:styleId="1CStyle14">
    <w:name w:val="1CStyle14"/>
    <w:basedOn w:val="Normal"/>
    <w:pPr>
      <w:jc w:val="center"/>
      <w:rPr>
        <w:rFonts w:ascii="Arial" w:hAnsi="Arial"/>
        <w:b/>
        <w:sz w:val="18"/>
      </w:rPr>
    </w:pPr>
  </w:style>
  <w:style w:type="paragraph" w:styleId="1CStyle30">
    <w:name w:val="1CStyle30"/>
    <w:basedOn w:val="Normal"/>
    <w:pPr>
      <w:jc w:val="center"/>
      <w:rPr>
        <w:rFonts w:ascii="Arial" w:hAnsi="Arial"/>
        <w:sz w:val="16"/>
      </w:rPr>
    </w:pPr>
  </w:style>
  <w:style w:type="paragraph" w:styleId="1CStyle16">
    <w:name w:val="1CStyle16"/>
    <w:basedOn w:val="Normal"/>
    <w:pPr>
      <w:jc w:val="center"/>
      <w:rPr>
        <w:rFonts w:ascii="Arial" w:hAnsi="Arial"/>
        <w:sz w:val="16"/>
      </w:rPr>
    </w:pPr>
  </w:style>
  <w:style w:type="paragraph" w:styleId="1CStyle13">
    <w:name w:val="1CStyle13"/>
    <w:basedOn w:val="Normal"/>
    <w:pPr>
      <w:jc w:val="center"/>
      <w:rPr>
        <w:rFonts w:ascii="Arial" w:hAnsi="Arial"/>
        <w:sz w:val="14"/>
      </w:rPr>
    </w:pPr>
  </w:style>
  <w:style w:type="paragraph" w:styleId="1CStyle20">
    <w:name w:val="1CStyle2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0">
    <w:name w:val="1CStyle1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4">
    <w:name w:val="1CStyle24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36">
    <w:name w:val="1CStyle36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59">
    <w:name w:val="1CStyle59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38">
    <w:name w:val="1CStyle38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37">
    <w:name w:val="1CStyle3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2">
    <w:name w:val="1CStyle22"/>
    <w:basedOn w:val="Normal"/>
    <w:pPr>
      <w:jc w:val="center"/>
      <w:rPr>
        <w:rFonts w:ascii="Arial" w:hAnsi="Arial"/>
        <w:sz w:val="16"/>
      </w:rPr>
    </w:pPr>
  </w:style>
  <w:style w:type="paragraph" w:styleId="1CStyle23">
    <w:name w:val="1CStyle23"/>
    <w:basedOn w:val="Normal"/>
    <w:pPr>
      <w:jc w:val="center"/>
      <w:rPr>
        <w:rFonts w:ascii="Arial" w:hAnsi="Arial"/>
        <w:sz w:val="16"/>
      </w:rPr>
    </w:pPr>
  </w:style>
  <w:style w:type="paragraph" w:styleId="1CStyle32">
    <w:name w:val="1CStyle32"/>
    <w:basedOn w:val="Normal"/>
    <w:pPr>
      <w:jc w:val="center"/>
      <w:rPr>
        <w:rFonts w:ascii="Arial" w:hAnsi="Arial"/>
        <w:sz w:val="16"/>
      </w:rPr>
    </w:pPr>
  </w:style>
  <w:style w:type="paragraph" w:styleId="1CStyle28">
    <w:name w:val="1CStyle28"/>
    <w:basedOn w:val="Normal"/>
    <w:pPr>
      <w:jc w:val="center"/>
      <w:rPr>
        <w:rFonts w:ascii="Arial" w:hAnsi="Arial"/>
        <w:sz w:val="16"/>
      </w:rPr>
    </w:pPr>
  </w:style>
  <w:style w:type="paragraph" w:styleId="1CStyle18">
    <w:name w:val="1CStyle18"/>
    <w:basedOn w:val="Normal"/>
    <w:pPr>
      <w:jc w:val="center"/>
      <w:rPr>
        <w:rFonts w:ascii="Arial" w:hAnsi="Arial"/>
        <w:sz w:val="16"/>
      </w:rPr>
    </w:pPr>
  </w:style>
  <w:style w:type="paragraph" w:styleId="1CStyle31">
    <w:name w:val="1CStyle31"/>
    <w:basedOn w:val="Normal"/>
    <w:pPr>
      <w:jc w:val="center"/>
      <w:rPr>
        <w:rFonts w:ascii="Arial" w:hAnsi="Arial"/>
        <w:sz w:val="16"/>
      </w:rPr>
    </w:pPr>
  </w:style>
  <w:style w:type="paragraph" w:styleId="1CStyle26">
    <w:name w:val="1CStyle26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1">
    <w:name w:val="1CStyle21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9">
    <w:name w:val="1CStyle19"/>
    <w:basedOn w:val="Normal"/>
    <w:pPr>
      <w:jc w:val="center"/>
      <w:rPr>
        <w:rFonts w:ascii="Arial" w:hAnsi="Arial"/>
        <w:sz w:val="16"/>
      </w:rPr>
    </w:pPr>
  </w:style>
  <w:style w:type="paragraph" w:styleId="1CStyle79">
    <w:name w:val="1CStyle79"/>
    <w:basedOn w:val="Normal"/>
    <w:pPr>
      <w:jc w:val="right"/>
      <w:rPr/>
    </w:pPr>
  </w:style>
  <w:style w:type="paragraph" w:styleId="1CStyle49">
    <w:name w:val="1CStyle49"/>
    <w:basedOn w:val="Normal"/>
    <w:pPr>
      <w:jc w:val="right"/>
      <w:rPr/>
    </w:pPr>
  </w:style>
  <w:style w:type="paragraph" w:styleId="1CStyle70">
    <w:name w:val="1CStyle70"/>
    <w:basedOn w:val="Normal"/>
    <w:pPr>
      <w:jc w:val="right"/>
      <w:rPr/>
    </w:pPr>
  </w:style>
  <w:style w:type="paragraph" w:styleId="1CStyle50">
    <w:name w:val="1CStyle50"/>
    <w:basedOn w:val="Normal"/>
    <w:pPr>
      <w:jc w:val="right"/>
      <w:rPr/>
    </w:pPr>
  </w:style>
  <w:style w:type="paragraph" w:styleId="1CStyle71">
    <w:name w:val="1CStyle71"/>
    <w:basedOn w:val="Normal"/>
    <w:pPr>
      <w:jc w:val="right"/>
      <w:rPr/>
    </w:pPr>
  </w:style>
  <w:style w:type="paragraph" w:styleId="1CStyle81">
    <w:name w:val="1CStyle81"/>
    <w:basedOn w:val="Normal"/>
    <w:pPr>
      <w:jc w:val="right"/>
      <w:rPr/>
    </w:pPr>
  </w:style>
  <w:style w:type="paragraph" w:styleId="1CStyle80">
    <w:name w:val="1CStyle80"/>
    <w:basedOn w:val="Normal"/>
    <w:pPr>
      <w:jc w:val="right"/>
      <w:rPr/>
    </w:pPr>
  </w:style>
  <w:style w:type="paragraph" w:styleId="1CStyle77">
    <w:name w:val="1CStyle77"/>
    <w:basedOn w:val="Normal"/>
    <w:pPr>
      <w:jc w:val="right"/>
      <w:rPr/>
    </w:pPr>
  </w:style>
  <w:style w:type="paragraph" w:styleId="1CStyle76">
    <w:name w:val="1CStyle76"/>
    <w:basedOn w:val="Normal"/>
    <w:pPr>
      <w:jc w:val="right"/>
      <w:rPr/>
    </w:pPr>
  </w:style>
  <w:style w:type="paragraph" w:styleId="1CStyle75">
    <w:name w:val="1CStyle75"/>
    <w:basedOn w:val="Normal"/>
    <w:pPr>
      <w:jc w:val="right"/>
      <w:rPr/>
    </w:pPr>
  </w:style>
  <w:style w:type="paragraph" w:styleId="1CStyle52">
    <w:name w:val="1CStyle52"/>
    <w:basedOn w:val="Normal"/>
    <w:pPr>
      <w:jc w:val="right"/>
      <w:rPr/>
    </w:pPr>
  </w:style>
  <w:style w:type="paragraph" w:styleId="1CStyle73">
    <w:name w:val="1CStyle73"/>
    <w:basedOn w:val="Normal"/>
    <w:pPr>
      <w:jc w:val="right"/>
      <w:rPr/>
    </w:pPr>
  </w:style>
  <w:style w:type="paragraph" w:styleId="1CStyle51">
    <w:name w:val="1CStyle51"/>
    <w:basedOn w:val="Normal"/>
    <w:pPr>
      <w:jc w:val="right"/>
      <w:rPr/>
    </w:pPr>
  </w:style>
  <w:style w:type="paragraph" w:styleId="1CStyle56">
    <w:name w:val="1CStyle56"/>
    <w:basedOn w:val="Normal"/>
    <w:pPr>
      <w:jc w:val="right"/>
      <w:rPr/>
    </w:pPr>
  </w:style>
  <w:style w:type="paragraph" w:styleId="1CStyle72">
    <w:name w:val="1CStyle72"/>
    <w:basedOn w:val="Normal"/>
    <w:pPr>
      <w:jc w:val="right"/>
      <w:rPr/>
    </w:pPr>
  </w:style>
  <w:style w:type="paragraph" w:styleId="1CStyle62">
    <w:name w:val="1CStyle62"/>
    <w:basedOn w:val="Normal"/>
    <w:pPr>
      <w:jc w:val="right"/>
      <w:rPr/>
    </w:pPr>
  </w:style>
  <w:style w:type="paragraph" w:styleId="1CStyle63">
    <w:name w:val="1CStyle63"/>
    <w:basedOn w:val="Normal"/>
    <w:pPr>
      <w:jc w:val="right"/>
      <w:rPr/>
    </w:pPr>
  </w:style>
  <w:style w:type="paragraph" w:styleId="1CStyle65">
    <w:name w:val="1CStyle65"/>
    <w:basedOn w:val="Normal"/>
    <w:pPr>
      <w:jc w:val="right"/>
      <w:rPr/>
    </w:pPr>
  </w:style>
  <w:style w:type="paragraph" w:styleId="1CStyle64">
    <w:name w:val="1CStyle64"/>
    <w:basedOn w:val="Normal"/>
    <w:pPr>
      <w:jc w:val="right"/>
      <w:rPr/>
    </w:pPr>
  </w:style>
  <w:style w:type="paragraph" w:styleId="1CStyle1">
    <w:name w:val="1CStyle1"/>
    <w:basedOn w:val="Normal"/>
    <w:pPr>
      <w:jc w:val="right"/>
      <w:rPr/>
    </w:pPr>
  </w:style>
  <w:style w:type="paragraph" w:styleId="1CStyle2">
    <w:name w:val="1CStyle2"/>
    <w:basedOn w:val="Normal"/>
    <w:pPr>
      <w:jc w:val="right"/>
      <w:rPr/>
    </w:pPr>
  </w:style>
  <w:style w:type="paragraph" w:styleId="1CStyle6">
    <w:name w:val="1CStyle6"/>
    <w:basedOn w:val="Normal"/>
    <w:pPr>
      <w:jc w:val="right"/>
      <w:rPr>
        <w:rFonts w:ascii="Arial" w:hAnsi="Arial"/>
        <w:b/>
        <w:sz w:val="16"/>
      </w:rPr>
    </w:pPr>
  </w:style>
  <w:style w:type="paragraph" w:styleId="1CStyle3">
    <w:name w:val="1CStyle3"/>
    <w:basedOn w:val="Normal"/>
    <w:pPr>
      <w:jc w:val="right"/>
      <w:rPr/>
    </w:pPr>
  </w:style>
  <w:style w:type="paragraph" w:styleId="1CStyle7">
    <w:name w:val="1CStyle7"/>
    <w:basedOn w:val="Normal"/>
    <w:pPr>
      <w:jc w:val="right"/>
      <w:rPr>
        <w:rFonts w:ascii="Arial" w:hAnsi="Arial"/>
        <w:b/>
        <w:sz w:val="16"/>
      </w:rPr>
    </w:pPr>
  </w:style>
  <w:style w:type="paragraph" w:styleId="1CStyle29">
    <w:name w:val="1CStyle29"/>
    <w:basedOn w:val="Normal"/>
    <w:pPr>
      <w:ind w:left="20"/>
      <w:jc w:val="center"/>
      <w:rPr>
        <w:rFonts w:ascii="Arial" w:hAnsi="Arial"/>
        <w:sz w:val="16"/>
      </w:rPr>
    </w:pPr>
  </w:style>
  <w:style w:type="paragraph" w:styleId="1CStyle15">
    <w:name w:val="1CStyle15"/>
    <w:basedOn w:val="Normal"/>
    <w:pPr>
      <w:ind w:left="20"/>
      <w:jc w:val="right"/>
      <w:rPr>
        <w:rFonts w:ascii="Arial" w:hAnsi="Arial"/>
        <w:sz w:val="16"/>
      </w:rPr>
    </w:pPr>
  </w:style>
  <w:style w:type="paragraph" w:styleId="1CStyle27">
    <w:name w:val="1CStyle27"/>
    <w:basedOn w:val="Normal"/>
    <w:pPr>
      <w:ind w:left="20"/>
      <w:jc w:val="right"/>
      <w:rPr>
        <w:rFonts w:ascii="Arial" w:hAnsi="Arial"/>
        <w:sz w:val="16"/>
      </w:rPr>
    </w:pPr>
  </w:style>
  <w:style w:type="paragraph" w:styleId="1CStyle9">
    <w:name w:val="1CStyle9"/>
    <w:basedOn w:val="Normal"/>
    <w:pPr>
      <w:wordWrap w:val="1"/>
      <w:ind w:left="0"/>
      <w:jc w:val="center"/>
      <w:rPr>
        <w:rFonts w:ascii="Arial" w:hAnsi="Arial"/>
        <w:b/>
        <w:sz w:val="20"/>
      </w:rPr>
    </w:pPr>
  </w:style>
  <w:style w:type="paragraph" w:styleId="1CStyle90">
    <w:name w:val="1CStyle90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88">
    <w:name w:val="1CStyle88"/>
    <w:basedOn w:val="Normal"/>
    <w:pPr>
      <w:wordWrap w:val="1"/>
      <w:jc w:val="center"/>
      <w:rPr/>
    </w:pPr>
  </w:style>
  <w:style w:type="paragraph" w:styleId="1CStyle82">
    <w:name w:val="1CStyle82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83">
    <w:name w:val="1CStyle83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47">
    <w:name w:val="1CStyle47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55">
    <w:name w:val="1CStyle55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53">
    <w:name w:val="1CStyle53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60">
    <w:name w:val="1CStyle60"/>
    <w:basedOn w:val="Normal"/>
    <w:pPr>
      <w:wordWrap w:val="1"/>
      <w:ind w:left="60"/>
      <w:jc w:val="center"/>
      <w:rPr>
        <w:rFonts w:ascii="Arial" w:hAnsi="Arial"/>
        <w:sz w:val="16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